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eeb8fe579e2e47c70af66f396494ea6fb0c28ed"/>
    <w:p>
      <w:pPr>
        <w:pStyle w:val="Heading1"/>
      </w:pPr>
      <w:r>
        <w:t xml:space="preserve">ДОГОВОР НА РАЗРАБОТКУ СИСТЕМЫ АНАЛИТИКИ И БИЗНЕС-ИНТЕЛЛЕКТА (BI)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обязуется разработать систему аналитики и бизнес-интеллекта (BI) в соответствии с Техническим заданием (Приложение № 1 к настоящему Договору), а Заказчик обязуется принять и оплатить выполненные работы.</w:t>
      </w:r>
    </w:p>
    <w:p>
      <w:pPr>
        <w:pStyle w:val="BodyText"/>
      </w:pPr>
      <w:r>
        <w:rPr>
          <w:b/>
          <w:bCs/>
        </w:rPr>
        <w:t xml:space="preserve">1.2. Результат работ включает:</w:t>
      </w:r>
    </w:p>
    <w:p>
      <w:pPr>
        <w:pStyle w:val="BodyText"/>
      </w:pPr>
      <w:r>
        <w:rPr>
          <w:b/>
          <w:bCs/>
        </w:rPr>
        <w:t xml:space="preserve">Программное обеспечение:</w:t>
      </w:r>
      <w:r>
        <w:t xml:space="preserve"> </w:t>
      </w:r>
      <w:r>
        <w:t xml:space="preserve">- BI-система с интерактивными дашбордами и отчетами;</w:t>
      </w:r>
      <w:r>
        <w:t xml:space="preserve"> </w:t>
      </w:r>
      <w:r>
        <w:t xml:space="preserve">- ETL-процессы (Extract, Transform, Load) для загрузки и трансформации данных;</w:t>
      </w:r>
      <w:r>
        <w:t xml:space="preserve"> </w:t>
      </w:r>
      <w:r>
        <w:t xml:space="preserve">- Хранилище данных (Data Warehouse) или витрины данных (Data Marts);</w:t>
      </w:r>
      <w:r>
        <w:t xml:space="preserve"> </w:t>
      </w:r>
      <w:r>
        <w:t xml:space="preserve">- Интеграции с источниками данных (CRM, 1С, базы данных, API);</w:t>
      </w:r>
      <w:r>
        <w:t xml:space="preserve"> </w:t>
      </w:r>
      <w:r>
        <w:t xml:space="preserve">- Система автоматизированных отчетов и уведомлений;</w:t>
      </w:r>
      <w:r>
        <w:t xml:space="preserve"> </w:t>
      </w:r>
      <w:r>
        <w:t xml:space="preserve">- Административная панель управления;</w:t>
      </w:r>
    </w:p>
    <w:p>
      <w:pPr>
        <w:pStyle w:val="BodyText"/>
      </w:pPr>
      <w:r>
        <w:rPr>
          <w:b/>
          <w:bCs/>
        </w:rPr>
        <w:t xml:space="preserve">Документация:</w:t>
      </w:r>
      <w:r>
        <w:t xml:space="preserve"> </w:t>
      </w:r>
      <w:r>
        <w:t xml:space="preserve">- Техническая документация по архитектуре и настройке;</w:t>
      </w:r>
      <w:r>
        <w:t xml:space="preserve"> </w:t>
      </w:r>
      <w:r>
        <w:t xml:space="preserve">- Руководство пользователя по работе с дашбордами;</w:t>
      </w:r>
      <w:r>
        <w:t xml:space="preserve"> </w:t>
      </w:r>
      <w:r>
        <w:t xml:space="preserve">- Документация по интеграциям и API;</w:t>
      </w:r>
      <w:r>
        <w:t xml:space="preserve"> </w:t>
      </w:r>
      <w:r>
        <w:t xml:space="preserve">- Инструкции по администрированию системы;</w:t>
      </w:r>
    </w:p>
    <w:p>
      <w:pPr>
        <w:pStyle w:val="BodyText"/>
      </w:pPr>
      <w:r>
        <w:rPr>
          <w:b/>
          <w:bCs/>
        </w:rPr>
        <w:t xml:space="preserve">1.3.</w:t>
      </w:r>
      <w:r>
        <w:t xml:space="preserve"> </w:t>
      </w:r>
      <w:r>
        <w:t xml:space="preserve">Детальные требования к BI-системе, функциональные возможности, технические характеристики и критерии приемки определяются Техническим заданием (Приложение № 1), являющимся неотъемлемой частью настоящего Договора.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2. ОПРЕДЕЛЕНИЯ И ТЕРМИНЫ</w:t>
      </w:r>
    </w:p>
    <w:p>
      <w:pPr>
        <w:pStyle w:val="FirstParagraph"/>
      </w:pPr>
      <w:r>
        <w:rPr>
          <w:b/>
          <w:bCs/>
        </w:rPr>
        <w:t xml:space="preserve">2.1. BI (Business Intelligence)</w:t>
      </w:r>
      <w:r>
        <w:t xml:space="preserve"> </w:t>
      </w:r>
      <w:r>
        <w:t xml:space="preserve">— система аналитики и бизнес-интеллекта для анализа данных и принятия управленческих решений.</w:t>
      </w:r>
    </w:p>
    <w:p>
      <w:pPr>
        <w:pStyle w:val="BodyText"/>
      </w:pPr>
      <w:r>
        <w:rPr>
          <w:b/>
          <w:bCs/>
        </w:rPr>
        <w:t xml:space="preserve">2.2. Data Warehouse (DWH)</w:t>
      </w:r>
      <w:r>
        <w:t xml:space="preserve"> </w:t>
      </w:r>
      <w:r>
        <w:t xml:space="preserve">— хранилище данных, централизованное хранилище структурированных данных из различных источников.</w:t>
      </w:r>
    </w:p>
    <w:p>
      <w:pPr>
        <w:pStyle w:val="BodyText"/>
      </w:pPr>
      <w:r>
        <w:rPr>
          <w:b/>
          <w:bCs/>
        </w:rPr>
        <w:t xml:space="preserve">2.3. ETL (Extract, Transform, Load)</w:t>
      </w:r>
      <w:r>
        <w:t xml:space="preserve"> </w:t>
      </w:r>
      <w:r>
        <w:t xml:space="preserve">— процесс извлечения данных из источников, их трансформации и загрузки в хранилище данных.</w:t>
      </w:r>
    </w:p>
    <w:p>
      <w:pPr>
        <w:pStyle w:val="BodyText"/>
      </w:pPr>
      <w:r>
        <w:rPr>
          <w:b/>
          <w:bCs/>
        </w:rPr>
        <w:t xml:space="preserve">2.4. Дашборд (Dashboard)</w:t>
      </w:r>
      <w:r>
        <w:t xml:space="preserve"> </w:t>
      </w:r>
      <w:r>
        <w:t xml:space="preserve">— визуальная панель с ключевыми метриками и показателями в виде графиков и диаграмм.</w:t>
      </w:r>
    </w:p>
    <w:p>
      <w:pPr>
        <w:pStyle w:val="BodyText"/>
      </w:pPr>
      <w:r>
        <w:rPr>
          <w:b/>
          <w:bCs/>
        </w:rPr>
        <w:t xml:space="preserve">2.5. KPI (Key Performance Indicator)</w:t>
      </w:r>
      <w:r>
        <w:t xml:space="preserve"> </w:t>
      </w:r>
      <w:r>
        <w:t xml:space="preserve">— ключевой показатель эффективности для оценки деятельности компании или отдела.</w:t>
      </w:r>
    </w:p>
    <w:p>
      <w:pPr>
        <w:pStyle w:val="BodyText"/>
      </w:pPr>
      <w:r>
        <w:rPr>
          <w:b/>
          <w:bCs/>
        </w:rPr>
        <w:t xml:space="preserve">2.6. OLAP (Online Analytical Processing)</w:t>
      </w:r>
      <w:r>
        <w:t xml:space="preserve"> </w:t>
      </w:r>
      <w:r>
        <w:t xml:space="preserve">— многомерный анализ данных для быстрого получения аналитических отчетов.</w:t>
      </w:r>
    </w:p>
    <w:p>
      <w:r>
        <w:pict>
          <v:rect style="width:0;height:1.5pt" o:hralign="center" o:hrstd="t" o:hr="t"/>
        </w:pict>
      </w:r>
    </w:p>
    <w:bookmarkEnd w:id="10"/>
    <w:bookmarkStart w:id="11" w:name="инструменты-и-технологии-bi"/>
    <w:p>
      <w:pPr>
        <w:pStyle w:val="Heading2"/>
      </w:pPr>
      <w:r>
        <w:t xml:space="preserve">3. ИНСТРУМЕНТЫ И ТЕХНОЛОГИИ BI</w:t>
      </w:r>
    </w:p>
    <w:p>
      <w:pPr>
        <w:pStyle w:val="FirstParagraph"/>
      </w:pPr>
      <w:r>
        <w:rPr>
          <w:b/>
          <w:bCs/>
        </w:rPr>
        <w:t xml:space="preserve">3.1. BI-платформы:</w:t>
      </w:r>
    </w:p>
    <w:p>
      <w:pPr>
        <w:pStyle w:val="BodyText"/>
      </w:pPr>
      <w:r>
        <w:rPr>
          <w:b/>
          <w:bCs/>
        </w:rPr>
        <w:t xml:space="preserve">3.1.1.</w:t>
      </w:r>
      <w:r>
        <w:t xml:space="preserve"> </w:t>
      </w:r>
      <w:r>
        <w:t xml:space="preserve">Исполнитель использует одну из следующих BI-платформ (указывается в ТЗ):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Power BI</w:t>
      </w:r>
      <w:r>
        <w:t xml:space="preserve"> </w:t>
      </w:r>
      <w:r>
        <w:t xml:space="preserve">(Microsoft) — облачная платформа, требует локализации данных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Tableau</w:t>
      </w:r>
      <w:r>
        <w:t xml:space="preserve"> </w:t>
      </w:r>
      <w:r>
        <w:t xml:space="preserve">— коммерческая платформа, требует локализации данных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Google Data Studio (Looker Studio)</w:t>
      </w:r>
      <w:r>
        <w:t xml:space="preserve"> </w:t>
      </w:r>
      <w:r>
        <w:t xml:space="preserve">— облачная платформа Google, требует трансграничной передачи данных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Apache Superset</w:t>
      </w:r>
      <w:r>
        <w:t xml:space="preserve"> </w:t>
      </w:r>
      <w:r>
        <w:t xml:space="preserve">(open-source) — может быть развернута локально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Metabase</w:t>
      </w:r>
      <w:r>
        <w:t xml:space="preserve"> </w:t>
      </w:r>
      <w:r>
        <w:t xml:space="preserve">(open-source) — может быть развернута локально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Qlik Sense</w:t>
      </w:r>
      <w:r>
        <w:t xml:space="preserve"> </w:t>
      </w:r>
      <w:r>
        <w:t xml:space="preserve">— коммерческая платформа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Кастомная разработка</w:t>
      </w:r>
      <w:r>
        <w:t xml:space="preserve"> </w:t>
      </w:r>
      <w:r>
        <w:t xml:space="preserve">(React + Chart.js / D3.js) — полный контроль над данными</w:t>
      </w:r>
    </w:p>
    <w:p>
      <w:pPr>
        <w:pStyle w:val="BodyText"/>
      </w:pPr>
      <w:r>
        <w:rPr>
          <w:i/>
          <w:iCs/>
        </w:rPr>
        <w:t xml:space="preserve">Примечание: Использование зарубежных облачных BI-платформ (Power BI Cloud, Tableau Cloud, Google Data Studio) для обработки ПДн граждан РФ требует согласия на трансграничную передачу данных.</w:t>
      </w:r>
    </w:p>
    <w:p>
      <w:pPr>
        <w:pStyle w:val="BodyText"/>
      </w:pPr>
      <w:r>
        <w:rPr>
          <w:b/>
          <w:bCs/>
        </w:rPr>
        <w:t xml:space="preserve">3.2. Хранилище данных:</w:t>
      </w:r>
    </w:p>
    <w:p>
      <w:pPr>
        <w:pStyle w:val="BodyText"/>
      </w:pPr>
      <w:r>
        <w:rPr>
          <w:b/>
          <w:bCs/>
        </w:rPr>
        <w:t xml:space="preserve">3.2.1.</w:t>
      </w:r>
      <w:r>
        <w:t xml:space="preserve"> </w:t>
      </w:r>
      <w:r>
        <w:t xml:space="preserve">Исполнитель использует одно из следующих хранилищ данных: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PostgreSQL</w:t>
      </w:r>
      <w:r>
        <w:t xml:space="preserve"> </w:t>
      </w:r>
      <w:r>
        <w:t xml:space="preserve">— открытая СУБД, может быть развернута локально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MySQL</w:t>
      </w:r>
      <w:r>
        <w:t xml:space="preserve"> </w:t>
      </w:r>
      <w:r>
        <w:t xml:space="preserve">— открытая СУБД, может быть развернута локально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ClickHouse</w:t>
      </w:r>
      <w:r>
        <w:t xml:space="preserve"> </w:t>
      </w:r>
      <w:r>
        <w:t xml:space="preserve">— колоночная СУБД для больших данных, российская разработка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Snowflake</w:t>
      </w:r>
      <w:r>
        <w:t xml:space="preserve"> </w:t>
      </w:r>
      <w:r>
        <w:t xml:space="preserve">— облачное хранилище, требует локализации данных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BigQuery</w:t>
      </w:r>
      <w:r>
        <w:t xml:space="preserve"> </w:t>
      </w:r>
      <w:r>
        <w:t xml:space="preserve">(Google Cloud) — требует трансграничной передачи данных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Яндекс.Облако</w:t>
      </w:r>
      <w:r>
        <w:t xml:space="preserve"> </w:t>
      </w:r>
      <w:r>
        <w:t xml:space="preserve">— российское облако, соответствует требованиям локализации</w:t>
      </w:r>
    </w:p>
    <w:p>
      <w:pPr>
        <w:pStyle w:val="BodyText"/>
      </w:pPr>
      <w:r>
        <w:rPr>
          <w:b/>
          <w:bCs/>
        </w:rPr>
        <w:t xml:space="preserve">3.2.2.</w:t>
      </w:r>
      <w:r>
        <w:t xml:space="preserve"> </w:t>
      </w:r>
      <w:r>
        <w:t xml:space="preserve">Исполнитель обязуется использовать только российские дата-центры для хранения данных граждан РФ (ст. 18 ФЗ-152).</w:t>
      </w:r>
    </w:p>
    <w:p>
      <w:pPr>
        <w:pStyle w:val="BodyText"/>
      </w:pPr>
      <w:r>
        <w:rPr>
          <w:b/>
          <w:bCs/>
        </w:rPr>
        <w:t xml:space="preserve">3.3. ETL-инструменты:</w:t>
      </w:r>
    </w:p>
    <w:p>
      <w:pPr>
        <w:pStyle w:val="BodyText"/>
      </w:pPr>
      <w:r>
        <w:rPr>
          <w:b/>
          <w:bCs/>
        </w:rPr>
        <w:t xml:space="preserve">3.3.1.</w:t>
      </w:r>
      <w:r>
        <w:t xml:space="preserve"> </w:t>
      </w:r>
      <w:r>
        <w:t xml:space="preserve">Исполнитель использует следующие инструменты для ETL-процессов: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Python</w:t>
      </w:r>
      <w:r>
        <w:t xml:space="preserve"> </w:t>
      </w:r>
      <w:r>
        <w:t xml:space="preserve">(pandas, Apache Airflow) — открытый исходный код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Talend</w:t>
      </w:r>
      <w:r>
        <w:t xml:space="preserve"> </w:t>
      </w:r>
      <w:r>
        <w:t xml:space="preserve">— коммерческий ETL-инструмент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Pentaho Data Integration</w:t>
      </w:r>
      <w:r>
        <w:t xml:space="preserve"> </w:t>
      </w:r>
      <w:r>
        <w:t xml:space="preserve">— открытый исходный код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Custom scripts</w:t>
      </w:r>
      <w:r>
        <w:t xml:space="preserve"> </w:t>
      </w:r>
      <w:r>
        <w:t xml:space="preserve">— кастомные скрипты на Python/Java</w:t>
      </w:r>
    </w:p>
    <w:p>
      <w:r>
        <w:pict>
          <v:rect style="width:0;height:1.5pt" o:hralign="center" o:hrstd="t" o:hr="t"/>
        </w:pict>
      </w:r>
    </w:p>
    <w:bookmarkEnd w:id="11"/>
    <w:bookmarkStart w:id="12" w:name="источники-данных-и-интеграции"/>
    <w:p>
      <w:pPr>
        <w:pStyle w:val="Heading2"/>
      </w:pPr>
      <w:r>
        <w:t xml:space="preserve">4. ИСТОЧНИКИ ДАННЫХ И ИНТЕГРАЦИИ</w:t>
      </w:r>
    </w:p>
    <w:p>
      <w:pPr>
        <w:pStyle w:val="FirstParagraph"/>
      </w:pPr>
      <w:r>
        <w:rPr>
          <w:b/>
          <w:bCs/>
        </w:rPr>
        <w:t xml:space="preserve">4.1. Интеграция с источниками данных: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BI-система интегрируется со следующими источниками данных (отметить необходимые):</w:t>
      </w:r>
    </w:p>
    <w:p>
      <w:pPr>
        <w:pStyle w:val="BodyText"/>
      </w:pPr>
      <w:r>
        <w:rPr>
          <w:b/>
          <w:bCs/>
        </w:rPr>
        <w:t xml:space="preserve">CRM-системы:</w:t>
      </w:r>
      <w:r>
        <w:t xml:space="preserve"> </w:t>
      </w:r>
      <w:r>
        <w:t xml:space="preserve">- [ ] Bitrix24</w:t>
      </w:r>
      <w:r>
        <w:t xml:space="preserve"> </w:t>
      </w:r>
      <w:r>
        <w:t xml:space="preserve">- [ ] AmoCRM</w:t>
      </w:r>
      <w:r>
        <w:t xml:space="preserve"> </w:t>
      </w:r>
      <w:r>
        <w:t xml:space="preserve">- [ ] Salesforce (требует трансграничной передачи данных)</w:t>
      </w:r>
      <w:r>
        <w:t xml:space="preserve"> </w:t>
      </w:r>
      <w:r>
        <w:t xml:space="preserve">- [ ] HubSpot (требует трансграничной передачи данных)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Системы учета:</w:t>
      </w:r>
      <w:r>
        <w:t xml:space="preserve"> </w:t>
      </w:r>
      <w:r>
        <w:t xml:space="preserve">- [ ] 1С: Бухгалтерия</w:t>
      </w:r>
      <w:r>
        <w:t xml:space="preserve"> </w:t>
      </w:r>
      <w:r>
        <w:t xml:space="preserve">- [ ] 1С: Управление торговлей</w:t>
      </w:r>
      <w:r>
        <w:t xml:space="preserve"> </w:t>
      </w:r>
      <w:r>
        <w:t xml:space="preserve">- [ ] 1С: ERP</w:t>
      </w:r>
      <w:r>
        <w:t xml:space="preserve"> </w:t>
      </w:r>
      <w:r>
        <w:t xml:space="preserve">- [ ] SAP (требует трансграничной передачи данных)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Веб-аналитика:</w:t>
      </w:r>
      <w:r>
        <w:t xml:space="preserve"> </w:t>
      </w:r>
      <w:r>
        <w:t xml:space="preserve">- [ ] Google Analytics (требует трансграничной передачи данных)</w:t>
      </w:r>
      <w:r>
        <w:t xml:space="preserve"> </w:t>
      </w:r>
      <w:r>
        <w:t xml:space="preserve">- [ ] Яндекс.Метрика (российский сервис)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Базы данных:</w:t>
      </w:r>
      <w:r>
        <w:t xml:space="preserve"> </w:t>
      </w:r>
      <w:r>
        <w:t xml:space="preserve">- [ ] SQL базы данных (PostgreSQL, MySQL, MS SQL Server)</w:t>
      </w:r>
      <w:r>
        <w:t xml:space="preserve"> </w:t>
      </w:r>
      <w:r>
        <w:t xml:space="preserve">- [ ] NoSQL базы данных (MongoDB, Redis)</w:t>
      </w:r>
    </w:p>
    <w:p>
      <w:pPr>
        <w:pStyle w:val="BodyText"/>
      </w:pPr>
      <w:r>
        <w:rPr>
          <w:b/>
          <w:bCs/>
        </w:rPr>
        <w:t xml:space="preserve">Файловые источники:</w:t>
      </w:r>
      <w:r>
        <w:t xml:space="preserve"> </w:t>
      </w:r>
      <w:r>
        <w:t xml:space="preserve">- [ ] Excel / CSV файлы</w:t>
      </w:r>
      <w:r>
        <w:t xml:space="preserve"> </w:t>
      </w:r>
      <w:r>
        <w:t xml:space="preserve">- [ ] JSON / XML файлы</w:t>
      </w:r>
    </w:p>
    <w:p>
      <w:pPr>
        <w:pStyle w:val="BodyText"/>
      </w:pPr>
      <w:r>
        <w:rPr>
          <w:b/>
          <w:bCs/>
        </w:rPr>
        <w:t xml:space="preserve">API внешних систем:</w:t>
      </w:r>
      <w:r>
        <w:t xml:space="preserve"> </w:t>
      </w:r>
      <w:r>
        <w:t xml:space="preserve">- [ ] REST API</w:t>
      </w:r>
      <w:r>
        <w:t xml:space="preserve"> </w:t>
      </w:r>
      <w:r>
        <w:t xml:space="preserve">- [ ] SOAP API</w:t>
      </w:r>
      <w:r>
        <w:t xml:space="preserve"> </w:t>
      </w:r>
      <w:r>
        <w:t xml:space="preserve">- [ ] GraphQL API</w:t>
      </w:r>
    </w:p>
    <w:p>
      <w:pPr>
        <w:pStyle w:val="BodyText"/>
      </w:pPr>
      <w:r>
        <w:rPr>
          <w:b/>
          <w:bCs/>
        </w:rPr>
        <w:t xml:space="preserve">4.2. Частота обновления данных: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Исполнитель настраивает частоту обновления данных в BI-системе:</w:t>
      </w:r>
      <w:r>
        <w:t xml:space="preserve"> </w:t>
      </w:r>
      <w:r>
        <w:t xml:space="preserve">- [ ] Реальное время (streaming)</w:t>
      </w:r>
      <w:r>
        <w:t xml:space="preserve"> </w:t>
      </w:r>
      <w:r>
        <w:t xml:space="preserve">- [ ] Ежечасно</w:t>
      </w:r>
      <w:r>
        <w:t xml:space="preserve"> </w:t>
      </w:r>
      <w:r>
        <w:t xml:space="preserve">- [ ] Ежедневно (в указанное время)</w:t>
      </w:r>
      <w:r>
        <w:t xml:space="preserve"> </w:t>
      </w:r>
      <w:r>
        <w:t xml:space="preserve">- [ ] Еженедельно</w:t>
      </w:r>
      <w:r>
        <w:t xml:space="preserve"> </w:t>
      </w:r>
      <w:r>
        <w:t xml:space="preserve">- [ ] По запросу (manual refresh)</w:t>
      </w:r>
    </w:p>
    <w:p>
      <w:pPr>
        <w:pStyle w:val="BodyText"/>
      </w:pPr>
      <w:r>
        <w:rPr>
          <w:b/>
          <w:bCs/>
        </w:rPr>
        <w:t xml:space="preserve">4.3. Требования к интеграциям: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Заказчик предоставляет Исполнителю:</w:t>
      </w:r>
      <w:r>
        <w:t xml:space="preserve"> </w:t>
      </w:r>
      <w:r>
        <w:t xml:space="preserve">- Доступы к системам-источникам данных (логины, пароли, API-ключи);</w:t>
      </w:r>
      <w:r>
        <w:t xml:space="preserve"> </w:t>
      </w:r>
      <w:r>
        <w:t xml:space="preserve">- Техническую документацию по API и структуре данных;</w:t>
      </w:r>
      <w:r>
        <w:t xml:space="preserve"> </w:t>
      </w:r>
      <w:r>
        <w:t xml:space="preserve">- Тестовые данные для разработки и тестирования;</w:t>
      </w:r>
    </w:p>
    <w:p>
      <w:pPr>
        <w:pStyle w:val="BodyText"/>
      </w:pPr>
      <w:r>
        <w:rPr>
          <w:b/>
          <w:bCs/>
        </w:rPr>
        <w:t xml:space="preserve">4.3.2.</w:t>
      </w:r>
      <w:r>
        <w:t xml:space="preserve"> </w:t>
      </w:r>
      <w:r>
        <w:t xml:space="preserve">Исполнитель обязуется обеспечить безопасность хранения учетных данных и не использовать их для иных целей.</w:t>
      </w:r>
    </w:p>
    <w:p>
      <w:r>
        <w:pict>
          <v:rect style="width:0;height:1.5pt" o:hralign="center" o:hrstd="t" o:hr="t"/>
        </w:pict>
      </w:r>
    </w:p>
    <w:bookmarkEnd w:id="12"/>
    <w:bookmarkStart w:id="13" w:name="дашборды-и-отчеты"/>
    <w:p>
      <w:pPr>
        <w:pStyle w:val="Heading2"/>
      </w:pPr>
      <w:r>
        <w:t xml:space="preserve">5. ДАШБОРДЫ И ОТЧЕТЫ</w:t>
      </w:r>
    </w:p>
    <w:p>
      <w:pPr>
        <w:pStyle w:val="FirstParagraph"/>
      </w:pPr>
      <w:r>
        <w:rPr>
          <w:b/>
          <w:bCs/>
        </w:rPr>
        <w:t xml:space="preserve">5.1. Количество и типы дашбордов: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Исполнитель разрабатывает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дашбордов для различных целей:</w:t>
      </w:r>
      <w:r>
        <w:t xml:space="preserve"> </w:t>
      </w:r>
      <w:r>
        <w:t xml:space="preserve">- Дашборд для руководства (executive dashboard)</w:t>
      </w:r>
      <w:r>
        <w:t xml:space="preserve"> </w:t>
      </w:r>
      <w:r>
        <w:t xml:space="preserve">- Дашборд для отдела продаж</w:t>
      </w:r>
      <w:r>
        <w:t xml:space="preserve"> </w:t>
      </w:r>
      <w:r>
        <w:t xml:space="preserve">- Дашборд для маркетинга</w:t>
      </w:r>
      <w:r>
        <w:t xml:space="preserve"> </w:t>
      </w:r>
      <w:r>
        <w:t xml:space="preserve">- Дашборд для финансового отдела</w:t>
      </w:r>
      <w:r>
        <w:t xml:space="preserve"> </w:t>
      </w:r>
      <w:r>
        <w:t xml:space="preserve">- Дашборд для операционного отдела</w:t>
      </w:r>
      <w:r>
        <w:t xml:space="preserve"> </w:t>
      </w:r>
      <w:r>
        <w:t xml:space="preserve">- Другие: _______________</w:t>
      </w:r>
    </w:p>
    <w:p>
      <w:pPr>
        <w:pStyle w:val="BodyText"/>
      </w:pPr>
      <w:r>
        <w:rPr>
          <w:b/>
          <w:bCs/>
        </w:rPr>
        <w:t xml:space="preserve">5.2. Метрики и показатели: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Дашборды отображают следующие метрики (примеры):</w:t>
      </w:r>
      <w:r>
        <w:t xml:space="preserve"> </w:t>
      </w:r>
      <w:r>
        <w:t xml:space="preserve">- Выручка, прибыль, маржинальность</w:t>
      </w:r>
      <w:r>
        <w:t xml:space="preserve"> </w:t>
      </w:r>
      <w:r>
        <w:t xml:space="preserve">- Конверсия воронки продаж</w:t>
      </w:r>
      <w:r>
        <w:t xml:space="preserve"> </w:t>
      </w:r>
      <w:r>
        <w:t xml:space="preserve">- Средний чек, количество транзакций</w:t>
      </w:r>
      <w:r>
        <w:t xml:space="preserve"> </w:t>
      </w:r>
      <w:r>
        <w:t xml:space="preserve">- LTV (Lifetime Value) — пожизненная ценность клиента</w:t>
      </w:r>
      <w:r>
        <w:t xml:space="preserve"> </w:t>
      </w:r>
      <w:r>
        <w:t xml:space="preserve">- CAC (Customer Acquisition Cost) — стоимость привлечения клиента</w:t>
      </w:r>
      <w:r>
        <w:t xml:space="preserve"> </w:t>
      </w:r>
      <w:r>
        <w:t xml:space="preserve">- KPI отделов и сотрудников</w:t>
      </w:r>
      <w:r>
        <w:t xml:space="preserve"> </w:t>
      </w:r>
      <w:r>
        <w:t xml:space="preserve">- Прогнозы и тренды</w:t>
      </w:r>
      <w:r>
        <w:t xml:space="preserve"> </w:t>
      </w:r>
      <w:r>
        <w:t xml:space="preserve">- Другие метрики: _______________</w:t>
      </w:r>
    </w:p>
    <w:p>
      <w:pPr>
        <w:pStyle w:val="BodyText"/>
      </w:pPr>
      <w:r>
        <w:rPr>
          <w:b/>
          <w:bCs/>
        </w:rPr>
        <w:t xml:space="preserve">5.3. Типы визуализаций: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использует следующие типы визуализаций:</w:t>
      </w:r>
      <w:r>
        <w:t xml:space="preserve"> </w:t>
      </w:r>
      <w:r>
        <w:t xml:space="preserve">- Линейные графики (тренды во времени)</w:t>
      </w:r>
      <w:r>
        <w:t xml:space="preserve"> </w:t>
      </w:r>
      <w:r>
        <w:t xml:space="preserve">- Столбчатые диаграммы (сравнение категорий)</w:t>
      </w:r>
      <w:r>
        <w:t xml:space="preserve"> </w:t>
      </w:r>
      <w:r>
        <w:t xml:space="preserve">- Круговые диаграммы (доли)</w:t>
      </w:r>
      <w:r>
        <w:t xml:space="preserve"> </w:t>
      </w:r>
      <w:r>
        <w:t xml:space="preserve">- Тепловые карты (heatmaps)</w:t>
      </w:r>
      <w:r>
        <w:t xml:space="preserve"> </w:t>
      </w:r>
      <w:r>
        <w:t xml:space="preserve">- Географические карты</w:t>
      </w:r>
      <w:r>
        <w:t xml:space="preserve"> </w:t>
      </w:r>
      <w:r>
        <w:t xml:space="preserve">- Таблицы с фильтрацией и сортировкой</w:t>
      </w:r>
      <w:r>
        <w:t xml:space="preserve"> </w:t>
      </w:r>
      <w:r>
        <w:t xml:space="preserve">- Индикаторы (KPI cards)</w:t>
      </w:r>
      <w:r>
        <w:t xml:space="preserve"> </w:t>
      </w:r>
      <w:r>
        <w:t xml:space="preserve">- Другие: _______________</w:t>
      </w:r>
    </w:p>
    <w:p>
      <w:pPr>
        <w:pStyle w:val="BodyText"/>
      </w:pPr>
      <w:r>
        <w:rPr>
          <w:b/>
          <w:bCs/>
        </w:rPr>
        <w:t xml:space="preserve">5.4. Интерактивность: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t xml:space="preserve">Дашборды поддерживают следующие интерактивные функции:</w:t>
      </w:r>
      <w:r>
        <w:t xml:space="preserve"> </w:t>
      </w:r>
      <w:r>
        <w:t xml:space="preserve">- Фильтры по дате, категориям, регионам</w:t>
      </w:r>
      <w:r>
        <w:t xml:space="preserve"> </w:t>
      </w:r>
      <w:r>
        <w:t xml:space="preserve">- Drill-down (углубление в детали данных)</w:t>
      </w:r>
      <w:r>
        <w:t xml:space="preserve"> </w:t>
      </w:r>
      <w:r>
        <w:t xml:space="preserve">- Срезы (slicers) для многомерного анализа</w:t>
      </w:r>
      <w:r>
        <w:t xml:space="preserve"> </w:t>
      </w:r>
      <w:r>
        <w:t xml:space="preserve">- Экспорт данных в Excel / PDF / CSV</w:t>
      </w:r>
      <w:r>
        <w:t xml:space="preserve"> </w:t>
      </w:r>
      <w:r>
        <w:t xml:space="preserve">- Сохранение пользовательских фильтров</w:t>
      </w:r>
      <w:r>
        <w:t xml:space="preserve"> </w:t>
      </w:r>
      <w:r>
        <w:t xml:space="preserve">- Обновление данных по требованию</w:t>
      </w:r>
    </w:p>
    <w:p>
      <w:r>
        <w:pict>
          <v:rect style="width:0;height:1.5pt" o:hralign="center" o:hrstd="t" o:hr="t"/>
        </w:pict>
      </w:r>
    </w:p>
    <w:bookmarkEnd w:id="13"/>
    <w:bookmarkStart w:id="14" w:name="автоматизированные-отчеты"/>
    <w:p>
      <w:pPr>
        <w:pStyle w:val="Heading2"/>
      </w:pPr>
      <w:r>
        <w:t xml:space="preserve">6. АВТОМАТИЗИРОВАННЫЕ ОТЧЕТЫ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Исполнитель настраивает автоматическую отправку отчетов:</w:t>
      </w:r>
    </w:p>
    <w:p>
      <w:pPr>
        <w:pStyle w:val="BodyText"/>
      </w:pPr>
      <w:r>
        <w:rPr>
          <w:b/>
          <w:bCs/>
        </w:rPr>
        <w:t xml:space="preserve">6.1.1. Email-рассылка отчетов:</w:t>
      </w:r>
      <w:r>
        <w:t xml:space="preserve"> </w:t>
      </w:r>
      <w:r>
        <w:t xml:space="preserve">- Периодичность: [ежедневно / еженедельно / ежемесячно]</w:t>
      </w:r>
      <w:r>
        <w:t xml:space="preserve"> </w:t>
      </w:r>
      <w:r>
        <w:t xml:space="preserve">- Время отправки:</w:t>
      </w:r>
      <w:r>
        <w:t xml:space="preserve"> </w:t>
      </w:r>
      <w:r>
        <w:rPr>
          <w:b/>
          <w:bCs/>
        </w:rPr>
        <w:t xml:space="preserve">[указать время]</w:t>
      </w:r>
      <w:r>
        <w:t xml:space="preserve"> </w:t>
      </w:r>
      <w:r>
        <w:t xml:space="preserve">- Формат: PDF / Excel / HTML</w:t>
      </w:r>
      <w:r>
        <w:t xml:space="preserve"> </w:t>
      </w:r>
      <w:r>
        <w:t xml:space="preserve">- Получатели:</w:t>
      </w:r>
      <w:r>
        <w:t xml:space="preserve"> </w:t>
      </w:r>
      <w:r>
        <w:rPr>
          <w:b/>
          <w:bCs/>
        </w:rPr>
        <w:t xml:space="preserve">[список email-адресов]</w:t>
      </w:r>
    </w:p>
    <w:p>
      <w:pPr>
        <w:pStyle w:val="BodyText"/>
      </w:pPr>
      <w:r>
        <w:rPr>
          <w:b/>
          <w:bCs/>
        </w:rPr>
        <w:t xml:space="preserve">6.1.2. Уведомления при достижении KPI:</w:t>
      </w:r>
      <w:r>
        <w:t xml:space="preserve"> </w:t>
      </w:r>
      <w:r>
        <w:t xml:space="preserve">- Настройка алертов при превышении/недостижении пороговых значений</w:t>
      </w:r>
      <w:r>
        <w:t xml:space="preserve"> </w:t>
      </w:r>
      <w:r>
        <w:t xml:space="preserve">- Каналы уведомлений: Email / SMS / Telegram / Slack</w:t>
      </w:r>
    </w:p>
    <w:p>
      <w:pPr>
        <w:pStyle w:val="BodyText"/>
      </w:pPr>
      <w:r>
        <w:rPr>
          <w:b/>
          <w:bCs/>
        </w:rPr>
        <w:t xml:space="preserve">6.1.3. Экспорт данных:</w:t>
      </w:r>
      <w:r>
        <w:t xml:space="preserve"> </w:t>
      </w:r>
      <w:r>
        <w:t xml:space="preserve">- Автоматический экспорт данных в указанные форматы</w:t>
      </w:r>
      <w:r>
        <w:t xml:space="preserve"> </w:t>
      </w:r>
      <w:r>
        <w:t xml:space="preserve">- Интеграция с внешними системами для автоматической загрузки данных</w:t>
      </w:r>
    </w:p>
    <w:p>
      <w:r>
        <w:pict>
          <v:rect style="width:0;height:1.5pt" o:hralign="center" o:hrstd="t" o:hr="t"/>
        </w:pict>
      </w:r>
    </w:p>
    <w:bookmarkEnd w:id="14"/>
    <w:bookmarkStart w:id="15" w:name="персональные-данные-и-локализация-данных"/>
    <w:p>
      <w:pPr>
        <w:pStyle w:val="Heading2"/>
      </w:pPr>
      <w:r>
        <w:t xml:space="preserve">7. ПЕРСОНАЛЬНЫЕ ДАННЫЕ И ЛОКАЛИЗАЦИЯ ДАННЫХ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18 - локализация данных)</w:t>
      </w:r>
    </w:p>
    <w:p>
      <w:pPr>
        <w:pStyle w:val="FirstParagraph"/>
      </w:pPr>
      <w:r>
        <w:rPr>
          <w:b/>
          <w:bCs/>
        </w:rPr>
        <w:t xml:space="preserve">7.1. Обработка персональных данных:</w:t>
      </w:r>
    </w:p>
    <w:p>
      <w:pPr>
        <w:pStyle w:val="BodyText"/>
      </w:pPr>
      <w:r>
        <w:rPr>
          <w:b/>
          <w:bCs/>
        </w:rPr>
        <w:t xml:space="preserve">7.1.1.</w:t>
      </w:r>
      <w:r>
        <w:t xml:space="preserve"> </w:t>
      </w:r>
      <w:r>
        <w:t xml:space="preserve">BI-система обрабатывает персональные данные клиентов Заказчика, включая:</w:t>
      </w:r>
      <w:r>
        <w:t xml:space="preserve"> </w:t>
      </w:r>
      <w:r>
        <w:t xml:space="preserve">- ФИО, контактные данные клиентов;</w:t>
      </w:r>
      <w:r>
        <w:t xml:space="preserve"> </w:t>
      </w:r>
      <w:r>
        <w:t xml:space="preserve">- Данные о покупках и транзакциях;</w:t>
      </w:r>
      <w:r>
        <w:t xml:space="preserve"> </w:t>
      </w:r>
      <w:r>
        <w:t xml:space="preserve">- Данные о взаимодействии с клиентами (из CRM);</w:t>
      </w:r>
      <w:r>
        <w:t xml:space="preserve"> </w:t>
      </w:r>
      <w:r>
        <w:t xml:space="preserve">- Иные персональные данные, содержащиеся в источниках данных;</w:t>
      </w:r>
    </w:p>
    <w:p>
      <w:pPr>
        <w:pStyle w:val="BodyText"/>
      </w:pPr>
      <w:r>
        <w:rPr>
          <w:b/>
          <w:bCs/>
        </w:rPr>
        <w:t xml:space="preserve">7.2. Роли Сторон: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В случае обработки персональных данных в рамках настоящего Договора Стороны определяют свои роли следующим образом: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(лицо, определяющее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(согласно ст. 6 ФЗ-152) при разработке и тестировании BI-системы;</w:t>
      </w:r>
    </w:p>
    <w:p>
      <w:pPr>
        <w:pStyle w:val="BodyText"/>
      </w:pPr>
      <w:r>
        <w:rPr>
          <w:b/>
          <w:bCs/>
        </w:rPr>
        <w:t xml:space="preserve">7.3. Обязательства Исполнителя при обработке ПДн:</w:t>
      </w:r>
    </w:p>
    <w:p>
      <w:pPr>
        <w:pStyle w:val="BodyText"/>
      </w:pPr>
      <w:r>
        <w:rPr>
          <w:b/>
          <w:bCs/>
        </w:rPr>
        <w:t xml:space="preserve">7.3.1.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разработки и тестирования BI-системы и в соответствии с поручением Заказчика;</w:t>
      </w:r>
      <w:r>
        <w:t xml:space="preserve"> </w:t>
      </w:r>
      <w:r>
        <w:t xml:space="preserve">- Соблюдать конфиденциальность персональных данных;</w:t>
      </w:r>
      <w:r>
        <w:t xml:space="preserve"> </w:t>
      </w:r>
      <w:r>
        <w:t xml:space="preserve">- Применять организационные и технические меры защиты ПДн в соответствии с Постановлением Правительства РФ от 01.11.2012 № 1119;</w:t>
      </w:r>
      <w:r>
        <w:t xml:space="preserve"> </w:t>
      </w:r>
      <w:r>
        <w:t xml:space="preserve">- Не передавать ПДн третьим лицам без письменного согласия Заказчика;</w:t>
      </w:r>
      <w:r>
        <w:t xml:space="preserve"> </w:t>
      </w:r>
      <w:r>
        <w:t xml:space="preserve">- По окончании обработки уничтожить или вернуть Заказчику все ПДн и их копии, если иное не предусмотрено законодательством;</w:t>
      </w:r>
    </w:p>
    <w:p>
      <w:pPr>
        <w:pStyle w:val="BodyText"/>
      </w:pPr>
      <w:r>
        <w:rPr>
          <w:b/>
          <w:bCs/>
        </w:rPr>
        <w:t xml:space="preserve">7.4. Обязательства Заказчика:</w:t>
      </w:r>
    </w:p>
    <w:p>
      <w:pPr>
        <w:pStyle w:val="BodyText"/>
      </w:pPr>
      <w:r>
        <w:rPr>
          <w:b/>
          <w:bCs/>
        </w:rPr>
        <w:t xml:space="preserve">7.4.1.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Обеспечить законность обработки ПДн из источников данных;</w:t>
      </w:r>
      <w:r>
        <w:t xml:space="preserve"> </w:t>
      </w:r>
      <w:r>
        <w:t xml:space="preserve">- Соблюдать требования ФЗ-152 при эксплуатации BI-системы;</w:t>
      </w:r>
      <w:r>
        <w:t xml:space="preserve"> </w:t>
      </w:r>
      <w:r>
        <w:t xml:space="preserve">- Разработать и опубликовать Политику обработки персональных данных;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7.5.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7.5.1.</w:t>
      </w:r>
      <w:r>
        <w:t xml:space="preserve"> </w:t>
      </w:r>
      <w:r>
        <w:t xml:space="preserve">Все персональные данные граждан Российской Федерации должны храниться и обрабатываться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7.5.2.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Использовать только российские дата-центры и облачные провайдеры для хостинга BI-системы (Яндекс.Облако, VK Cloud, Selectel и др.);</w:t>
      </w:r>
      <w:r>
        <w:t xml:space="preserve"> </w:t>
      </w:r>
      <w:r>
        <w:t xml:space="preserve">- Не использовать зарубежные облачные сервисы (AWS, Google Cloud, Azure, Snowflake, BigQuery) для хранения ПДн граждан РФ;</w:t>
      </w:r>
      <w:r>
        <w:t xml:space="preserve"> </w:t>
      </w:r>
      <w:r>
        <w:t xml:space="preserve">- Обеспечить локализацию данных даже при использовании услуг субподрядчиков;</w:t>
      </w:r>
    </w:p>
    <w:p>
      <w:pPr>
        <w:pStyle w:val="BodyText"/>
      </w:pPr>
      <w:r>
        <w:rPr>
          <w:b/>
          <w:bCs/>
        </w:rPr>
        <w:t xml:space="preserve">7.5.3.</w:t>
      </w:r>
      <w:r>
        <w:t xml:space="preserve"> </w:t>
      </w:r>
      <w:r>
        <w:t xml:space="preserve">Трансграничная передача ПДн допускается только:</w:t>
      </w:r>
      <w:r>
        <w:t xml:space="preserve"> </w:t>
      </w:r>
      <w:r>
        <w:t xml:space="preserve">- С предварительного письменного согласия Заказчика;</w:t>
      </w:r>
      <w:r>
        <w:t xml:space="preserve"> </w:t>
      </w:r>
      <w:r>
        <w:t xml:space="preserve">- С согласия субъектов ПДн на трансграничную передачу;</w:t>
      </w:r>
      <w:r>
        <w:t xml:space="preserve"> </w:t>
      </w:r>
      <w:r>
        <w:t xml:space="preserve">- С уведомлением Роскомнадзора в установленном порядке;</w:t>
      </w:r>
      <w:r>
        <w:t xml:space="preserve"> </w:t>
      </w:r>
      <w:r>
        <w:t xml:space="preserve">- В страны, обеспечивающие адекватную защиту ПДн (по перечню Роскомнадзора);</w:t>
      </w:r>
    </w:p>
    <w:p>
      <w:pPr>
        <w:pStyle w:val="BodyText"/>
      </w:pPr>
      <w:r>
        <w:rPr>
          <w:b/>
          <w:bCs/>
        </w:rPr>
        <w:t xml:space="preserve">7.5.4. Использование зарубежных BI-платформ:</w:t>
      </w:r>
    </w:p>
    <w:p>
      <w:pPr>
        <w:pStyle w:val="BodyText"/>
      </w:pPr>
      <w:r>
        <w:rPr>
          <w:b/>
          <w:bCs/>
        </w:rPr>
        <w:t xml:space="preserve">7.5.4.1.</w:t>
      </w:r>
      <w:r>
        <w:t xml:space="preserve"> </w:t>
      </w:r>
      <w:r>
        <w:t xml:space="preserve">При использовании зарубежных облачных BI-платформ (Power BI Cloud, Tableau Cloud, Google Data Studio) Заказчик обязан:</w:t>
      </w:r>
      <w:r>
        <w:t xml:space="preserve"> </w:t>
      </w:r>
      <w:r>
        <w:t xml:space="preserve">- Получить согласие субъектов ПДн на трансграничную передачу данных;</w:t>
      </w:r>
      <w:r>
        <w:t xml:space="preserve"> </w:t>
      </w:r>
      <w:r>
        <w:t xml:space="preserve">- Уведомить Роскомнадзор о трансграничной передаче ПДн;</w:t>
      </w:r>
      <w:r>
        <w:t xml:space="preserve"> </w:t>
      </w:r>
      <w:r>
        <w:t xml:space="preserve">- Предупредить пользователей системы о передаче данных зарубежным сервисам;</w:t>
      </w:r>
    </w:p>
    <w:p>
      <w:pPr>
        <w:pStyle w:val="BodyText"/>
      </w:pPr>
      <w:r>
        <w:rPr>
          <w:b/>
          <w:bCs/>
        </w:rPr>
        <w:t xml:space="preserve">7.5.4.2.</w:t>
      </w:r>
      <w:r>
        <w:t xml:space="preserve"> </w:t>
      </w:r>
      <w:r>
        <w:t xml:space="preserve">Исполнитель рекомендует использовать локальные или российские BI-решения для полного соблюдения требований локализации данных.</w:t>
      </w:r>
    </w:p>
    <w:p>
      <w:pPr>
        <w:pStyle w:val="BodyText"/>
      </w:pPr>
      <w:r>
        <w:rPr>
          <w:b/>
          <w:bCs/>
        </w:rPr>
        <w:t xml:space="preserve">7.6.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7.6.1.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7.7. Ответственность за нарушения:</w:t>
      </w:r>
    </w:p>
    <w:p>
      <w:pPr>
        <w:pStyle w:val="BodyText"/>
      </w:pPr>
      <w:r>
        <w:rPr>
          <w:b/>
          <w:bCs/>
        </w:rPr>
        <w:t xml:space="preserve">7.7.1.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5"/>
    <w:bookmarkStart w:id="16" w:name="этапы-работ-и-порядок-приемки"/>
    <w:p>
      <w:pPr>
        <w:pStyle w:val="Heading2"/>
      </w:pPr>
      <w:r>
        <w:t xml:space="preserve">8. ЭТАПЫ РАБОТ И ПОРЯДОК ПРИЕМКИ</w:t>
      </w:r>
    </w:p>
    <w:p>
      <w:pPr>
        <w:pStyle w:val="FirstParagraph"/>
      </w:pPr>
      <w:r>
        <w:rPr>
          <w:b/>
          <w:bCs/>
        </w:rPr>
        <w:t xml:space="preserve">8.1. Работы выполняются в следующие этапы:</w:t>
      </w:r>
    </w:p>
    <w:p>
      <w:pPr>
        <w:pStyle w:val="BodyText"/>
      </w:pPr>
      <w:r>
        <w:rPr>
          <w:b/>
          <w:bCs/>
        </w:rPr>
        <w:t xml:space="preserve">Этап 1: Проектирование DWH и ETL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</w:t>
      </w:r>
      <w:r>
        <w:t xml:space="preserve"> </w:t>
      </w:r>
      <w:r>
        <w:t xml:space="preserve">- Результат: Архитектура хранилища данных, схема ETL-процессов, техническое проектирование</w:t>
      </w:r>
      <w:r>
        <w:t xml:space="preserve"> </w:t>
      </w:r>
      <w:r>
        <w:t xml:space="preserve">- Приемка: Утверждение архитектуры Заказчиком</w:t>
      </w:r>
    </w:p>
    <w:p>
      <w:pPr>
        <w:pStyle w:val="BodyText"/>
      </w:pPr>
      <w:r>
        <w:rPr>
          <w:b/>
          <w:bCs/>
        </w:rPr>
        <w:t xml:space="preserve">Этап 2: Настройка интеграций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Настроенные интеграции с источниками данных, работающие ETL-процессы</w:t>
      </w:r>
      <w:r>
        <w:t xml:space="preserve"> </w:t>
      </w:r>
      <w:r>
        <w:t xml:space="preserve">- Приемка: Тестирование загрузки данных из всех источников</w:t>
      </w:r>
    </w:p>
    <w:p>
      <w:pPr>
        <w:pStyle w:val="BodyText"/>
      </w:pPr>
      <w:r>
        <w:rPr>
          <w:b/>
          <w:bCs/>
        </w:rPr>
        <w:t xml:space="preserve">Этап 3: Разработка дашбордов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Разработанные дашборды с визуализациями, настроенные метрики и KPI</w:t>
      </w:r>
      <w:r>
        <w:t xml:space="preserve"> </w:t>
      </w:r>
      <w:r>
        <w:t xml:space="preserve">- Приемка: Демонстрация дашбордов Заказчику, согласование визуализаций</w:t>
      </w:r>
    </w:p>
    <w:p>
      <w:pPr>
        <w:pStyle w:val="BodyText"/>
      </w:pPr>
      <w:r>
        <w:rPr>
          <w:b/>
          <w:bCs/>
        </w:rPr>
        <w:t xml:space="preserve">Этап 4: Тестирование и запуск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Протестированная BI-система, настроенные автоматические отчеты, документация</w:t>
      </w:r>
      <w:r>
        <w:t xml:space="preserve"> </w:t>
      </w:r>
      <w:r>
        <w:t xml:space="preserve">- Приемка: Приемочное тестирование на реальных данных Заказчика</w:t>
      </w:r>
    </w:p>
    <w:p>
      <w:pPr>
        <w:pStyle w:val="BodyText"/>
      </w:pPr>
      <w:r>
        <w:rPr>
          <w:b/>
          <w:bCs/>
        </w:rPr>
        <w:t xml:space="preserve">8.2. Порядок приемки:</w:t>
      </w:r>
    </w:p>
    <w:p>
      <w:pPr>
        <w:pStyle w:val="BodyText"/>
      </w:pPr>
      <w:r>
        <w:rPr>
          <w:b/>
          <w:bCs/>
        </w:rPr>
        <w:t xml:space="preserve">8.2.1.</w:t>
      </w:r>
      <w:r>
        <w:t xml:space="preserve"> </w:t>
      </w:r>
      <w:r>
        <w:t xml:space="preserve">По завершении каждого этапа Исполнитель уведомляет Заказчика о готовности к приемке и передает результаты работ.</w:t>
      </w:r>
    </w:p>
    <w:p>
      <w:pPr>
        <w:pStyle w:val="BodyText"/>
      </w:pPr>
      <w:r>
        <w:rPr>
          <w:b/>
          <w:bCs/>
        </w:rPr>
        <w:t xml:space="preserve">8.2.2.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результатов обязан:</w:t>
      </w:r>
      <w:r>
        <w:t xml:space="preserve"> </w:t>
      </w:r>
      <w:r>
        <w:t xml:space="preserve">- Проверить соответствие результатов требованиям ТЗ и настоящему Договору;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8.2.3.</w:t>
      </w:r>
      <w:r>
        <w:t xml:space="preserve"> </w:t>
      </w:r>
      <w:r>
        <w:t xml:space="preserve">Если Заказчик не направил ответ в указанный срок, результаты считаются принятыми.</w:t>
      </w:r>
    </w:p>
    <w:p>
      <w:pPr>
        <w:pStyle w:val="BodyText"/>
      </w:pPr>
      <w:r>
        <w:rPr>
          <w:b/>
          <w:bCs/>
        </w:rPr>
        <w:t xml:space="preserve">8.2.4.</w:t>
      </w:r>
      <w:r>
        <w:t xml:space="preserve"> </w:t>
      </w:r>
      <w:r>
        <w:t xml:space="preserve">При наличии замечаний Исполнитель устраняет их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и повторно представляет результаты на приемку.</w:t>
      </w:r>
    </w:p>
    <w:p>
      <w:pPr>
        <w:pStyle w:val="BodyText"/>
      </w:pPr>
      <w:r>
        <w:rPr>
          <w:b/>
          <w:bCs/>
        </w:rPr>
        <w:t xml:space="preserve">8.2.5. Критерии приемки BI-системы:</w:t>
      </w:r>
      <w:r>
        <w:t xml:space="preserve"> </w:t>
      </w:r>
      <w:r>
        <w:t xml:space="preserve">- Все дашборды работают корректно и отображают актуальные данные;</w:t>
      </w:r>
      <w:r>
        <w:t xml:space="preserve"> </w:t>
      </w:r>
      <w:r>
        <w:t xml:space="preserve">- ETL-процессы загружают данные из всех указанных источников;</w:t>
      </w:r>
      <w:r>
        <w:t xml:space="preserve"> </w:t>
      </w:r>
      <w:r>
        <w:t xml:space="preserve">- Метрики и KPI рассчитываются правильно;</w:t>
      </w:r>
      <w:r>
        <w:t xml:space="preserve"> </w:t>
      </w:r>
      <w:r>
        <w:t xml:space="preserve">- Автоматические отчеты отправляются по расписанию;</w:t>
      </w:r>
      <w:r>
        <w:t xml:space="preserve"> </w:t>
      </w:r>
      <w:r>
        <w:t xml:space="preserve">- Предоставлена полная техническая документация;</w:t>
      </w:r>
      <w:r>
        <w:t xml:space="preserve"> </w:t>
      </w:r>
      <w:r>
        <w:t xml:space="preserve">- Отсутствуют критические ошибки, блокирующие работу системы;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Финальная приемка BI-системы оформляется актом выполненных работ, подписанным обеими Сторонами.</w:t>
      </w:r>
    </w:p>
    <w:p>
      <w:r>
        <w:pict>
          <v:rect style="width:0;height:1.5pt" o:hralign="center" o:hrstd="t" o:hr="t"/>
        </w:pict>
      </w:r>
    </w:p>
    <w:bookmarkEnd w:id="16"/>
    <w:bookmarkStart w:id="17" w:name="сроки-выполнения-работ"/>
    <w:p>
      <w:pPr>
        <w:pStyle w:val="Heading2"/>
      </w:pPr>
      <w:r>
        <w:t xml:space="preserve">9. СРОКИ ВЫПОЛНЕНИЯ РАБОТ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Общий срок выполнения работ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Сроки выполнения отдельных этапов указаны в п. 8.1 настоящего Договора.</w:t>
      </w:r>
    </w:p>
    <w:p>
      <w:pPr>
        <w:pStyle w:val="BodyText"/>
      </w:pPr>
      <w:r>
        <w:rPr>
          <w:b/>
          <w:bCs/>
        </w:rPr>
        <w:t xml:space="preserve">9.3.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16).</w:t>
      </w:r>
    </w:p>
    <w:p>
      <w:r>
        <w:pict>
          <v:rect style="width:0;height:1.5pt" o:hralign="center" o:hrstd="t" o:hr="t"/>
        </w:pict>
      </w:r>
    </w:p>
    <w:bookmarkEnd w:id="17"/>
    <w:bookmarkStart w:id="18" w:name="стоимость-работ-и-порядок-оплаты"/>
    <w:p>
      <w:pPr>
        <w:pStyle w:val="Heading2"/>
      </w:pPr>
      <w:r>
        <w:t xml:space="preserve">10.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10.2. Стоимость лицензий BI-платформ: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Стоимость лицензий коммерческих BI-платформ (Power BI, Tableau, Qlik Sense):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[Включена в стоимость работ / Оплачивается отдельно Заказчиком]</w:t>
      </w:r>
    </w:p>
    <w:p>
      <w:pPr>
        <w:pStyle w:val="BodyText"/>
      </w:pPr>
      <w:r>
        <w:rPr>
          <w:b/>
          <w:bCs/>
        </w:rPr>
        <w:t xml:space="preserve">10.2.2.</w:t>
      </w:r>
      <w:r>
        <w:t xml:space="preserve"> </w:t>
      </w:r>
      <w:r>
        <w:t xml:space="preserve">Если лицензии оплачиваются отдельно, их стоимость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 и оплачивается дополнительно к стоимости работ.</w:t>
      </w:r>
    </w:p>
    <w:p>
      <w:pPr>
        <w:pStyle w:val="BodyText"/>
      </w:pPr>
      <w:r>
        <w:rPr>
          <w:b/>
          <w:bCs/>
        </w:rPr>
        <w:t xml:space="preserve">10.3.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Промежуточные платежи по этапам:</w:t>
      </w:r>
      <w:r>
        <w:t xml:space="preserve"> </w:t>
      </w:r>
      <w:r>
        <w:t xml:space="preserve">- Этап 1: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1</w:t>
      </w:r>
      <w:r>
        <w:t xml:space="preserve"> </w:t>
      </w:r>
      <w:r>
        <w:t xml:space="preserve">- Этап 2: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2</w:t>
      </w:r>
      <w:r>
        <w:t xml:space="preserve"> </w:t>
      </w:r>
      <w:r>
        <w:t xml:space="preserve">- Этап 3: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3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акта выполненных работ (этап 4)</w:t>
      </w:r>
    </w:p>
    <w:p>
      <w:pPr>
        <w:pStyle w:val="BodyText"/>
      </w:pPr>
      <w:r>
        <w:rPr>
          <w:b/>
          <w:bCs/>
        </w:rPr>
        <w:t xml:space="preserve">10.4.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10.5.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18"/>
    <w:bookmarkStart w:id="19" w:name="гарантии-и-ответственность-сторон"/>
    <w:p>
      <w:pPr>
        <w:pStyle w:val="Heading2"/>
      </w:pPr>
      <w:r>
        <w:t xml:space="preserve">11.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11.1. Гарантии Исполнителя:</w:t>
      </w:r>
    </w:p>
    <w:p>
      <w:pPr>
        <w:pStyle w:val="BodyText"/>
      </w:pPr>
      <w:r>
        <w:rPr>
          <w:b/>
          <w:bCs/>
        </w:rPr>
        <w:t xml:space="preserve">11.1.1.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BI-системы требованиям Технического задания и настоящего Договора;</w:t>
      </w:r>
      <w:r>
        <w:t xml:space="preserve"> </w:t>
      </w:r>
      <w:r>
        <w:t xml:space="preserve">- Корректность расчетов метрик и KPI;</w:t>
      </w:r>
      <w:r>
        <w:t xml:space="preserve"> </w:t>
      </w:r>
      <w:r>
        <w:t xml:space="preserve">- Работоспособность интеграций с источниками данных;</w:t>
      </w:r>
      <w:r>
        <w:t xml:space="preserve"> </w:t>
      </w:r>
      <w:r>
        <w:t xml:space="preserve">- Отсутствие критических ошибок, блокирующих использование системы;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11.1.2.</w:t>
      </w:r>
      <w:r>
        <w:t xml:space="preserve"> </w:t>
      </w:r>
      <w:r>
        <w:t xml:space="preserve">Гарантийный срок на BI-систему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11.1.3.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системы Заказчиком.</w:t>
      </w:r>
    </w:p>
    <w:p>
      <w:pPr>
        <w:pStyle w:val="BodyText"/>
      </w:pPr>
      <w:r>
        <w:rPr>
          <w:b/>
          <w:bCs/>
        </w:rPr>
        <w:t xml:space="preserve">11.2.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11.2.1.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11.2.2.</w:t>
      </w:r>
      <w:r>
        <w:t xml:space="preserve"> </w:t>
      </w:r>
      <w:r>
        <w:t xml:space="preserve">За некачественное выполнение работ (несоответствие ТЗ, некорректные расчеты метрик)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11.2.3.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Точность исходных данных, предоставленных Заказчиком;</w:t>
      </w:r>
      <w:r>
        <w:t xml:space="preserve"> </w:t>
      </w:r>
      <w:r>
        <w:t xml:space="preserve">- Решения, принятые Заказчиком на основе данных BI-системы;</w:t>
      </w:r>
      <w:r>
        <w:t xml:space="preserve"> </w:t>
      </w:r>
      <w:r>
        <w:t xml:space="preserve">- Изменения в источниках данных или их недоступность;</w:t>
      </w:r>
      <w:r>
        <w:t xml:space="preserve"> </w:t>
      </w:r>
      <w:r>
        <w:t xml:space="preserve">- Использование системы с нарушением законодательства о ПДн;</w:t>
      </w:r>
    </w:p>
    <w:p>
      <w:pPr>
        <w:pStyle w:val="BodyText"/>
      </w:pPr>
      <w:r>
        <w:rPr>
          <w:b/>
          <w:bCs/>
        </w:rPr>
        <w:t xml:space="preserve">11.2.4.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11.3. Ответственность Заказчика:</w:t>
      </w:r>
    </w:p>
    <w:p>
      <w:pPr>
        <w:pStyle w:val="BodyText"/>
      </w:pPr>
      <w:r>
        <w:rPr>
          <w:b/>
          <w:bCs/>
        </w:rPr>
        <w:t xml:space="preserve">11.3.1.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11.3.2.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Предоставление достоверных данных из источников;</w:t>
      </w:r>
      <w:r>
        <w:t xml:space="preserve"> </w:t>
      </w:r>
      <w:r>
        <w:t xml:space="preserve">- Получение согласий субъектов ПДн на обработку персональных данных;</w:t>
      </w:r>
      <w:r>
        <w:t xml:space="preserve"> </w:t>
      </w:r>
      <w:r>
        <w:t xml:space="preserve">- Соблюдение требований ФЗ-152 при эксплуатации BI-системы;</w:t>
      </w:r>
    </w:p>
    <w:p>
      <w:r>
        <w:pict>
          <v:rect style="width:0;height:1.5pt" o:hralign="center" o:hrstd="t" o:hr="t"/>
        </w:pict>
      </w:r>
    </w:p>
    <w:bookmarkEnd w:id="19"/>
    <w:bookmarkStart w:id="20" w:name="техническая-поддержка"/>
    <w:p>
      <w:pPr>
        <w:pStyle w:val="Heading2"/>
      </w:pPr>
      <w:r>
        <w:t xml:space="preserve">12. ТЕХНИЧЕСКАЯ ПОДДЕРЖКА</w:t>
      </w:r>
    </w:p>
    <w:p>
      <w:pPr>
        <w:pStyle w:val="FirstParagraph"/>
      </w:pPr>
      <w:r>
        <w:rPr>
          <w:b/>
          <w:bCs/>
        </w:rPr>
        <w:t xml:space="preserve">12.1.</w:t>
      </w:r>
      <w:r>
        <w:t xml:space="preserve"> </w:t>
      </w:r>
      <w:r>
        <w:t xml:space="preserve">Исполнитель предоставляет техническую поддержку BI-системы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12.2. Уровни поддержки (SLA):</w:t>
      </w:r>
    </w:p>
    <w:p>
      <w:pPr>
        <w:pStyle w:val="BodyText"/>
      </w:pPr>
      <w:r>
        <w:rPr>
          <w:b/>
          <w:bCs/>
        </w:rPr>
        <w:t xml:space="preserve">Критические ошибки (блокируют работу системы):</w:t>
      </w:r>
      <w:r>
        <w:t xml:space="preserve"> </w:t>
      </w:r>
      <w:r>
        <w:t xml:space="preserve">- Время реакции: не более 2 часов</w:t>
      </w:r>
      <w:r>
        <w:t xml:space="preserve"> </w:t>
      </w:r>
      <w:r>
        <w:t xml:space="preserve">- Время устранения: не более 24 часов</w:t>
      </w:r>
    </w:p>
    <w:p>
      <w:pPr>
        <w:pStyle w:val="BodyText"/>
      </w:pPr>
      <w:r>
        <w:rPr>
          <w:b/>
          <w:bCs/>
        </w:rPr>
        <w:t xml:space="preserve">Существенные ошибки (ограничивают функциональность):</w:t>
      </w:r>
      <w:r>
        <w:t xml:space="preserve"> </w:t>
      </w:r>
      <w:r>
        <w:t xml:space="preserve">- Время реакции: не более 8 часов</w:t>
      </w:r>
      <w:r>
        <w:t xml:space="preserve"> </w:t>
      </w:r>
      <w:r>
        <w:t xml:space="preserve">- Время устранения: не более 5 рабочих дней</w:t>
      </w:r>
    </w:p>
    <w:p>
      <w:pPr>
        <w:pStyle w:val="BodyText"/>
      </w:pPr>
      <w:r>
        <w:rPr>
          <w:b/>
          <w:bCs/>
        </w:rPr>
        <w:t xml:space="preserve">Несущественные ошибки и улучшения:</w:t>
      </w:r>
      <w:r>
        <w:t xml:space="preserve"> </w:t>
      </w:r>
      <w:r>
        <w:t xml:space="preserve">- Время реакции: не более 24 часов</w:t>
      </w:r>
      <w:r>
        <w:t xml:space="preserve"> </w:t>
      </w:r>
      <w:r>
        <w:t xml:space="preserve">- Время устранения: по согласованию с Заказчиком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Консультации по использованию BI-системы;</w:t>
      </w:r>
      <w:r>
        <w:t xml:space="preserve"> </w:t>
      </w:r>
      <w:r>
        <w:t xml:space="preserve">- Устранение ошибок и багов;</w:t>
      </w:r>
      <w:r>
        <w:t xml:space="preserve"> </w:t>
      </w:r>
      <w:r>
        <w:t xml:space="preserve">- Помощь в настройке дашбордов и метрик;</w:t>
      </w:r>
      <w:r>
        <w:t xml:space="preserve"> </w:t>
      </w:r>
      <w:r>
        <w:t xml:space="preserve">- Обновление интеграций при изменении источников данных (в пределах гарантийного срока);</w:t>
      </w:r>
    </w:p>
    <w:p>
      <w:pPr>
        <w:pStyle w:val="BodyText"/>
      </w:pPr>
      <w:r>
        <w:rPr>
          <w:b/>
          <w:bCs/>
        </w:rPr>
        <w:t xml:space="preserve">12.4.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r>
        <w:pict>
          <v:rect style="width:0;height:1.5pt" o:hralign="center" o:hrstd="t" o:hr="t"/>
        </w:pict>
      </w:r>
    </w:p>
    <w:bookmarkEnd w:id="20"/>
    <w:bookmarkStart w:id="21" w:name="X22b89bc04bf1dee4053d8be4fbce4fdf5c865af"/>
    <w:p>
      <w:pPr>
        <w:pStyle w:val="Heading2"/>
      </w:pPr>
      <w:r>
        <w:t xml:space="preserve">13.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Исключительные права на разработанную BI-систему, включая исходный код, дашборды, ETL-процессы, документацию, переходят к Заказчику с момента полной оплаты стоимости работ и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Исполнитель передает Заказчику все исключительные права на результаты интеллектуальной деятельности, созданные в рамках выполнения настоящего Договора, в полном объеме без каких-либо ограничений.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Использование коммерческих BI-платформ (Power BI, Tableau и др.) регулируется лицензионными соглашениями соответствующих правообладателей.</w:t>
      </w:r>
    </w:p>
    <w:p>
      <w:r>
        <w:pict>
          <v:rect style="width:0;height:1.5pt" o:hralign="center" o:hrstd="t" o:hr="t"/>
        </w:pict>
      </w:r>
    </w:p>
    <w:bookmarkEnd w:id="21"/>
    <w:bookmarkStart w:id="22" w:name="хранение-и-удаление-данных"/>
    <w:p>
      <w:pPr>
        <w:pStyle w:val="Heading2"/>
      </w:pPr>
      <w:r>
        <w:t xml:space="preserve">14.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Исполнитель хранит данные Заказчика (включая персональные данные, тестовые данные, результаты аналитики)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После завершения работ Исполнитель передает Заказчику все данные и удаляет их со своих серверов в соответствии с разделом 13 настоящего Договора.</w:t>
      </w:r>
    </w:p>
    <w:p>
      <w:r>
        <w:pict>
          <v:rect style="width:0;height:1.5pt" o:hralign="center" o:hrstd="t" o:hr="t"/>
        </w:pict>
      </w:r>
    </w:p>
    <w:bookmarkEnd w:id="22"/>
    <w:bookmarkStart w:id="23" w:name="субподрядчики-и-третьи-лица"/>
    <w:p>
      <w:pPr>
        <w:pStyle w:val="Heading2"/>
      </w:pPr>
      <w:r>
        <w:t xml:space="preserve">15.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При привлечении субподрядчиков Исполнитель обязан обеспечить соблюдение субподрядчиком всех требований настоящего Договора, включая требования по локализации данных.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r>
        <w:pict>
          <v:rect style="width:0;height:1.5pt" o:hralign="center" o:hrstd="t" o:hr="t"/>
        </w:pict>
      </w:r>
    </w:p>
    <w:bookmarkEnd w:id="23"/>
    <w:bookmarkStart w:id="24" w:name="конфиденциальность"/>
    <w:p>
      <w:pPr>
        <w:pStyle w:val="Heading2"/>
      </w:pPr>
      <w:r>
        <w:t xml:space="preserve">16. КОНФИДЕНЦИАЛЬНОСТЬ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Данные о бизнес-процессах и метриках компании;</w:t>
      </w:r>
      <w:r>
        <w:t xml:space="preserve"> </w:t>
      </w:r>
      <w:r>
        <w:t xml:space="preserve">- Персональные данные клиентов;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4"/>
    <w:bookmarkStart w:id="25" w:name="форс-мажор"/>
    <w:p>
      <w:pPr>
        <w:pStyle w:val="Heading2"/>
      </w:pPr>
      <w:r>
        <w:t xml:space="preserve">17. ФОРС-МАЖОР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бедствия, военные действия, решения органов государственной власти;</w:t>
      </w:r>
      <w:r>
        <w:t xml:space="preserve"> </w:t>
      </w:r>
      <w:r>
        <w:t xml:space="preserve">- Техногенные катастрофы, массовые кибератаки, отключение интернета;</w:t>
      </w:r>
      <w:r>
        <w:t xml:space="preserve"> </w:t>
      </w:r>
      <w:r>
        <w:t xml:space="preserve">- Недоступность источников данных или BI-платформ;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 немедленно уведомить другую Сторону о наступлении и прекращении обстоятельств непреодолимой силы (в течение 3 рабочих дней).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5"/>
    <w:bookmarkStart w:id="26" w:name="разрешение-споров"/>
    <w:p>
      <w:pPr>
        <w:pStyle w:val="Heading2"/>
      </w:pPr>
      <w:r>
        <w:t xml:space="preserve">18. РАЗРЕШЕНИЕ СПОРОВ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 (Арбитражный суд или суд общей юрисдикции в зависимости от статуса Сторон).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6"/>
    <w:bookmarkStart w:id="27" w:name="заключительные-положения"/>
    <w:p>
      <w:pPr>
        <w:pStyle w:val="Heading2"/>
      </w:pPr>
      <w:r>
        <w:t xml:space="preserve">19. ЗАКЛЮЧИТЕЛЬНЫЕ ПОЛОЖЕНИЯ</w:t>
      </w:r>
    </w:p>
    <w:p>
      <w:pPr>
        <w:pStyle w:val="FirstParagraph"/>
      </w:pPr>
      <w:r>
        <w:rPr>
          <w:b/>
          <w:bCs/>
        </w:rPr>
        <w:t xml:space="preserve">19.1.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</w:t>
      </w:r>
    </w:p>
    <w:p>
      <w:pPr>
        <w:pStyle w:val="BodyText"/>
      </w:pPr>
      <w:r>
        <w:rPr>
          <w:b/>
          <w:bCs/>
        </w:rPr>
        <w:t xml:space="preserve">19.2.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19.3.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19.4.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7"/>
    <w:bookmarkStart w:id="28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28"/>
    <w:bookmarkStart w:id="29" w:name="приложения"/>
    <w:p>
      <w:pPr>
        <w:pStyle w:val="Heading2"/>
      </w:pPr>
      <w:r>
        <w:t xml:space="preserve">ПРИЛОЖЕНИЯ</w:t>
      </w:r>
    </w:p>
    <w:p>
      <w:pPr>
        <w:pStyle w:val="FirstParagraph"/>
      </w:pPr>
      <w:r>
        <w:rPr>
          <w:b/>
          <w:bCs/>
        </w:rPr>
        <w:t xml:space="preserve">Приложение № 1:</w:t>
      </w:r>
      <w:r>
        <w:t xml:space="preserve"> </w:t>
      </w:r>
      <w:r>
        <w:t xml:space="preserve">Техническое задание на разработку BI-системы</w:t>
      </w:r>
    </w:p>
    <w:p>
      <w:pPr>
        <w:pStyle w:val="BodyText"/>
      </w:pPr>
      <w:r>
        <w:rPr>
          <w:i/>
          <w:iCs/>
        </w:rPr>
        <w:t xml:space="preserve">(Примечание: Техническое задание должно быть разработано и приложено к Договору до начала работ)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2026-01-03T13:54:23Z</dcterms:created>
  <dcterms:modified xsi:type="dcterms:W3CDTF">2026-01-03T13:54:23Z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